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AD" w:rsidRPr="002F6DD8" w:rsidRDefault="0069573C" w:rsidP="00C32F38">
      <w:pPr>
        <w:rPr>
          <w:rFonts w:ascii="Times New Roman" w:hAnsi="Times New Roman"/>
          <w:b/>
          <w:sz w:val="24"/>
          <w:szCs w:val="24"/>
        </w:rPr>
      </w:pPr>
      <w:r w:rsidRPr="002F6DD8">
        <w:rPr>
          <w:rFonts w:ascii="Times New Roman" w:hAnsi="Times New Roman"/>
          <w:b/>
          <w:bCs/>
          <w:sz w:val="24"/>
          <w:szCs w:val="24"/>
          <w:lang w:val="en-GB"/>
        </w:rPr>
        <w:t xml:space="preserve">If you don't do politics, they do it for (and against) you </w:t>
      </w:r>
    </w:p>
    <w:p w:rsidR="00704FAD" w:rsidRDefault="0069573C" w:rsidP="0074097C">
      <w:pPr>
        <w:spacing w:line="360" w:lineRule="auto"/>
        <w:jc w:val="both"/>
        <w:rPr>
          <w:rFonts w:ascii="Times New Roman" w:hAnsi="Times New Roman"/>
          <w:sz w:val="24"/>
          <w:szCs w:val="24"/>
        </w:rPr>
      </w:pPr>
      <w:r w:rsidRPr="0074097C">
        <w:rPr>
          <w:rFonts w:ascii="Times New Roman" w:hAnsi="Times New Roman"/>
          <w:sz w:val="24"/>
          <w:szCs w:val="24"/>
          <w:lang w:val="en-GB"/>
        </w:rPr>
        <w:t xml:space="preserve">As 2015 draws to a close, it is good to look back to January's editorial with which we kicked the year off. </w:t>
      </w:r>
      <w:r w:rsidRPr="0074097C">
        <w:rPr>
          <w:rFonts w:ascii="Times New Roman" w:hAnsi="Times New Roman"/>
          <w:sz w:val="24"/>
          <w:szCs w:val="24"/>
          <w:lang w:val="en-GB"/>
        </w:rPr>
        <w:t>In it we spoke of the window of opportunity that was opening up to promote comprehensive development of Law 10/2001 on Archives and Records, thanks to the then newly born Law 19/2014 on Transparency, Access to Information and Good Governance. The fact that</w:t>
      </w:r>
      <w:r w:rsidRPr="0074097C">
        <w:rPr>
          <w:rFonts w:ascii="Times New Roman" w:hAnsi="Times New Roman"/>
          <w:sz w:val="24"/>
          <w:szCs w:val="24"/>
          <w:lang w:val="en-GB"/>
        </w:rPr>
        <w:t xml:space="preserve"> the latter considered records management as a technical key to the general information system that is to build transparency (Art. 5.2), the portal itself as a basic element of the records management system (Art. 5.4) or that, within the organisational mea</w:t>
      </w:r>
      <w:r w:rsidRPr="0074097C">
        <w:rPr>
          <w:rFonts w:ascii="Times New Roman" w:hAnsi="Times New Roman"/>
          <w:sz w:val="24"/>
          <w:szCs w:val="24"/>
          <w:lang w:val="en-GB"/>
        </w:rPr>
        <w:t>sures necessary to guarantee right of access, one that was particularly outstanding was to establish a records management, information and integrated data system (Art. 19.3) it looked like it would allow us, after nearly fifteen years, a political will tha</w:t>
      </w:r>
      <w:r w:rsidRPr="0074097C">
        <w:rPr>
          <w:rFonts w:ascii="Times New Roman" w:hAnsi="Times New Roman"/>
          <w:sz w:val="24"/>
          <w:szCs w:val="24"/>
          <w:lang w:val="en-GB"/>
        </w:rPr>
        <w:t xml:space="preserve">t understood the extra democratic quality with which the archival structure endows the public administration. </w:t>
      </w:r>
    </w:p>
    <w:p w:rsidR="00704FAD" w:rsidRDefault="0069573C" w:rsidP="0074097C">
      <w:pPr>
        <w:spacing w:line="360" w:lineRule="auto"/>
        <w:jc w:val="both"/>
        <w:rPr>
          <w:rFonts w:ascii="Times New Roman" w:hAnsi="Times New Roman"/>
          <w:sz w:val="24"/>
          <w:szCs w:val="24"/>
          <w:lang w:eastAsia="ca-ES"/>
        </w:rPr>
      </w:pPr>
      <w:r>
        <w:rPr>
          <w:rFonts w:ascii="Times New Roman" w:hAnsi="Times New Roman"/>
          <w:sz w:val="24"/>
          <w:szCs w:val="24"/>
          <w:lang w:val="en-GB" w:eastAsia="ca-ES"/>
        </w:rPr>
        <w:t>In that same editorial, however, we warned, from experience, that we would have to be very clear that the mere provisions of the law would not be</w:t>
      </w:r>
      <w:r>
        <w:rPr>
          <w:rFonts w:ascii="Times New Roman" w:hAnsi="Times New Roman"/>
          <w:sz w:val="24"/>
          <w:szCs w:val="24"/>
          <w:lang w:val="en-GB" w:eastAsia="ca-ES"/>
        </w:rPr>
        <w:t xml:space="preserve"> sufficient guarantee, that it would take full involvement of our profession to make it obvious to everyone that any efficient, long-term solution meant including the reorganisation of procedures and cross-cutting scope that only records management brings </w:t>
      </w:r>
      <w:r>
        <w:rPr>
          <w:rFonts w:ascii="Times New Roman" w:hAnsi="Times New Roman"/>
          <w:sz w:val="24"/>
          <w:szCs w:val="24"/>
          <w:lang w:val="en-GB" w:eastAsia="ca-ES"/>
        </w:rPr>
        <w:t>simultaneously. Work was required within organisations, building alliances with other specialists involved and, above all, work was required outside, addressing the public and main actors of civil society directly. Because now the following excerpt from th</w:t>
      </w:r>
      <w:r>
        <w:rPr>
          <w:rFonts w:ascii="Times New Roman" w:hAnsi="Times New Roman"/>
          <w:sz w:val="24"/>
          <w:szCs w:val="24"/>
          <w:lang w:val="en-GB" w:eastAsia="ca-ES"/>
        </w:rPr>
        <w:t>e preamble to Law 10/2001 really did take on a clear, transparent and even prophetic meaning: ‘the Law also understands that many records provide evidence of the rights and duties of citizens, organisations and government agencies and that in this regard t</w:t>
      </w:r>
      <w:r>
        <w:rPr>
          <w:rFonts w:ascii="Times New Roman" w:hAnsi="Times New Roman"/>
          <w:sz w:val="24"/>
          <w:szCs w:val="24"/>
          <w:lang w:val="en-GB" w:eastAsia="ca-ES"/>
        </w:rPr>
        <w:t>hey play a significant role in their relations. It recognises that access to public records is everyone's right, regardless of nationality, condition or function, a right that can only be denied when legally established limitations are applied. Also, the l</w:t>
      </w:r>
      <w:r>
        <w:rPr>
          <w:rFonts w:ascii="Times New Roman" w:hAnsi="Times New Roman"/>
          <w:sz w:val="24"/>
          <w:szCs w:val="24"/>
          <w:lang w:val="en-GB" w:eastAsia="ca-ES"/>
        </w:rPr>
        <w:t>aw considers that for government agencies proper records management is essential to legal certainty and to effective, transparent action that is open to public participation’. Yes, you read that right: accountability, access to information, transparency, a</w:t>
      </w:r>
      <w:r>
        <w:rPr>
          <w:rFonts w:ascii="Times New Roman" w:hAnsi="Times New Roman"/>
          <w:sz w:val="24"/>
          <w:szCs w:val="24"/>
          <w:lang w:val="en-GB" w:eastAsia="ca-ES"/>
        </w:rPr>
        <w:t xml:space="preserve">dministrative efficiency and public participation coherently drafted in a ... fifteen-year-old law. </w:t>
      </w:r>
    </w:p>
    <w:p w:rsidR="00704FAD" w:rsidRDefault="0069573C" w:rsidP="0074097C">
      <w:pPr>
        <w:spacing w:line="360" w:lineRule="auto"/>
        <w:jc w:val="both"/>
        <w:rPr>
          <w:rFonts w:ascii="Times New Roman" w:hAnsi="Times New Roman"/>
          <w:sz w:val="24"/>
          <w:szCs w:val="24"/>
          <w:lang w:eastAsia="ca-ES"/>
        </w:rPr>
      </w:pPr>
      <w:r>
        <w:rPr>
          <w:rFonts w:ascii="Times New Roman" w:hAnsi="Times New Roman"/>
          <w:sz w:val="24"/>
          <w:szCs w:val="24"/>
          <w:lang w:val="en-GB" w:eastAsia="ca-ES"/>
        </w:rPr>
        <w:lastRenderedPageBreak/>
        <w:t>Just days before the coming into force of the Transparency Act, we are all aware of the small, not to say non-existent, degree of compliance with the artic</w:t>
      </w:r>
      <w:r>
        <w:rPr>
          <w:rFonts w:ascii="Times New Roman" w:hAnsi="Times New Roman"/>
          <w:sz w:val="24"/>
          <w:szCs w:val="24"/>
          <w:lang w:val="en-GB" w:eastAsia="ca-ES"/>
        </w:rPr>
        <w:t>les quoted. Essentially, most government agencies have spent this year promoting a new superstructure (also in the Marxist sense), which attempts to comply with the obligations of active advertising, rather than effectively coordinating the existing struct</w:t>
      </w:r>
      <w:r>
        <w:rPr>
          <w:rFonts w:ascii="Times New Roman" w:hAnsi="Times New Roman"/>
          <w:sz w:val="24"/>
          <w:szCs w:val="24"/>
          <w:lang w:val="en-GB" w:eastAsia="ca-ES"/>
        </w:rPr>
        <w:t xml:space="preserve">ure, which not only guaranteed access to information, but also manages its complete life cycle. As at 1 January 2016, no transparency portal will form part of the records management system of government agencies nor will it structure information according </w:t>
      </w:r>
      <w:r>
        <w:rPr>
          <w:rFonts w:ascii="Times New Roman" w:hAnsi="Times New Roman"/>
          <w:sz w:val="24"/>
          <w:szCs w:val="24"/>
          <w:lang w:val="en-GB" w:eastAsia="ca-ES"/>
        </w:rPr>
        <w:t>to the relevant classification scheme, and in only a handful of transparency committees or offices has expertise in archival science and records management found a place, despite its indisputable relevance in the provisions of the law. The unfortunate inci</w:t>
      </w:r>
      <w:r>
        <w:rPr>
          <w:rFonts w:ascii="Times New Roman" w:hAnsi="Times New Roman"/>
          <w:sz w:val="24"/>
          <w:szCs w:val="24"/>
          <w:lang w:val="en-GB" w:eastAsia="ca-ES"/>
        </w:rPr>
        <w:t>dent of the naming of the members of the Commission to Guarantee Right of Access to Public Information has undoubtedly had even more negative consequences than merely failing to comply with Article 40.3: it has set a precedent to exclude the specialists in</w:t>
      </w:r>
      <w:r>
        <w:rPr>
          <w:rFonts w:ascii="Times New Roman" w:hAnsi="Times New Roman"/>
          <w:sz w:val="24"/>
          <w:szCs w:val="24"/>
          <w:lang w:val="en-GB" w:eastAsia="ca-ES"/>
        </w:rPr>
        <w:t xml:space="preserve"> charge of designing municipal records management systems when emulating it at local level. Either through legal supremacy or, more recently, through technopolitics, our political representatives have opted to prioritise partial strategies that in no way f</w:t>
      </w:r>
      <w:r>
        <w:rPr>
          <w:rFonts w:ascii="Times New Roman" w:hAnsi="Times New Roman"/>
          <w:sz w:val="24"/>
          <w:szCs w:val="24"/>
          <w:lang w:val="en-GB" w:eastAsia="ca-ES"/>
        </w:rPr>
        <w:t>acilitate collaboration between equals of all the agents involved (including the public) proposed by the spirit of the Transparency Act.</w:t>
      </w:r>
    </w:p>
    <w:p w:rsidR="00704FAD" w:rsidRDefault="0069573C" w:rsidP="0074097C">
      <w:pPr>
        <w:spacing w:line="360" w:lineRule="auto"/>
        <w:jc w:val="both"/>
        <w:rPr>
          <w:rFonts w:ascii="Times New Roman" w:hAnsi="Times New Roman"/>
          <w:sz w:val="24"/>
          <w:szCs w:val="24"/>
          <w:lang w:eastAsia="ca-ES"/>
        </w:rPr>
      </w:pPr>
      <w:r>
        <w:rPr>
          <w:rFonts w:ascii="Times New Roman" w:hAnsi="Times New Roman"/>
          <w:sz w:val="24"/>
          <w:szCs w:val="24"/>
          <w:lang w:val="en-GB" w:eastAsia="ca-ES"/>
        </w:rPr>
        <w:t xml:space="preserve">Thus, with no political mandate to match up to the objectives of the current legal framework, we have no choice but to </w:t>
      </w:r>
      <w:r>
        <w:rPr>
          <w:rFonts w:ascii="Times New Roman" w:hAnsi="Times New Roman"/>
          <w:sz w:val="24"/>
          <w:szCs w:val="24"/>
          <w:lang w:val="en-GB" w:eastAsia="ca-ES"/>
        </w:rPr>
        <w:t xml:space="preserve">get political so they don't get political with us (and even against us). The title of this editorial reworks a statement by Joan Fuster in </w:t>
      </w:r>
      <w:r>
        <w:rPr>
          <w:rFonts w:ascii="Times New Roman" w:hAnsi="Times New Roman"/>
          <w:i/>
          <w:iCs/>
          <w:sz w:val="24"/>
          <w:szCs w:val="24"/>
          <w:lang w:val="en-GB" w:eastAsia="ca-ES"/>
        </w:rPr>
        <w:t>Un país sense política?</w:t>
      </w:r>
      <w:r>
        <w:rPr>
          <w:rFonts w:ascii="Times New Roman" w:hAnsi="Times New Roman"/>
          <w:sz w:val="24"/>
          <w:szCs w:val="24"/>
          <w:lang w:val="en-GB" w:eastAsia="ca-ES"/>
        </w:rPr>
        <w:t xml:space="preserve"> and in </w:t>
      </w:r>
      <w:r>
        <w:rPr>
          <w:rFonts w:ascii="Times New Roman" w:hAnsi="Times New Roman"/>
          <w:i/>
          <w:iCs/>
          <w:sz w:val="24"/>
          <w:szCs w:val="24"/>
          <w:lang w:val="en-GB" w:eastAsia="ca-ES"/>
        </w:rPr>
        <w:t>Diccionari d’ociosos</w:t>
      </w:r>
      <w:r>
        <w:rPr>
          <w:rFonts w:ascii="Times New Roman" w:hAnsi="Times New Roman"/>
          <w:sz w:val="24"/>
          <w:szCs w:val="24"/>
          <w:lang w:val="en-GB" w:eastAsia="ca-ES"/>
        </w:rPr>
        <w:t>: ‘All politics not done by us will be done against us’. The autho</w:t>
      </w:r>
      <w:r>
        <w:rPr>
          <w:rFonts w:ascii="Times New Roman" w:hAnsi="Times New Roman"/>
          <w:sz w:val="24"/>
          <w:szCs w:val="24"/>
          <w:lang w:val="en-GB" w:eastAsia="ca-ES"/>
        </w:rPr>
        <w:t xml:space="preserve">r, who also wrote </w:t>
      </w:r>
      <w:r>
        <w:rPr>
          <w:rFonts w:ascii="Times New Roman" w:hAnsi="Times New Roman"/>
          <w:i/>
          <w:iCs/>
          <w:sz w:val="24"/>
          <w:szCs w:val="24"/>
          <w:lang w:val="en-GB" w:eastAsia="ca-ES"/>
        </w:rPr>
        <w:t xml:space="preserve">Contra el Noucentisme, </w:t>
      </w:r>
      <w:r>
        <w:rPr>
          <w:rFonts w:ascii="Times New Roman" w:hAnsi="Times New Roman"/>
          <w:sz w:val="24"/>
          <w:szCs w:val="24"/>
          <w:lang w:val="en-GB" w:eastAsia="ca-ES"/>
        </w:rPr>
        <w:t>was very clear on the need for political involvement. Doing politics obviously does not mean becoming a militant and joining a party sector committee or standing for election (although you could); rather it means un</w:t>
      </w:r>
      <w:r>
        <w:rPr>
          <w:rFonts w:ascii="Times New Roman" w:hAnsi="Times New Roman"/>
          <w:sz w:val="24"/>
          <w:szCs w:val="24"/>
          <w:lang w:val="en-GB" w:eastAsia="ca-ES"/>
        </w:rPr>
        <w:t xml:space="preserve">derstanding our scientific knowledge from a political perspective (civic, if you prefer, seeing as they are synonymous). Essentially, this is what we at the AAC-GD have tried to do up to now and will continue to do as far as we can in the future. Creating </w:t>
      </w:r>
      <w:r>
        <w:rPr>
          <w:rFonts w:ascii="Times New Roman" w:hAnsi="Times New Roman"/>
          <w:sz w:val="24"/>
          <w:szCs w:val="24"/>
          <w:lang w:val="en-GB" w:eastAsia="ca-ES"/>
        </w:rPr>
        <w:t xml:space="preserve">awareness of archival science outside of government agencies and companies in which records managers work is essential if we are to build the necessary fabric of social alliances that will ultimately enable understanding of our </w:t>
      </w:r>
      <w:r>
        <w:rPr>
          <w:rFonts w:ascii="Times New Roman" w:hAnsi="Times New Roman"/>
          <w:sz w:val="24"/>
          <w:szCs w:val="24"/>
          <w:lang w:val="en-GB" w:eastAsia="ca-ES"/>
        </w:rPr>
        <w:lastRenderedPageBreak/>
        <w:t>regulatory framework, not as</w:t>
      </w:r>
      <w:r>
        <w:rPr>
          <w:rFonts w:ascii="Times New Roman" w:hAnsi="Times New Roman"/>
          <w:sz w:val="24"/>
          <w:szCs w:val="24"/>
          <w:lang w:val="en-GB" w:eastAsia="ca-ES"/>
        </w:rPr>
        <w:t xml:space="preserve"> sector-based (cultural) but inextricably linked to the general framework of administrative procedure and access to public information. </w:t>
      </w:r>
    </w:p>
    <w:p w:rsidR="00704FAD" w:rsidRDefault="0069573C" w:rsidP="0074097C">
      <w:pPr>
        <w:spacing w:line="360" w:lineRule="auto"/>
        <w:jc w:val="both"/>
        <w:rPr>
          <w:rFonts w:ascii="Times New Roman" w:hAnsi="Times New Roman"/>
          <w:sz w:val="24"/>
          <w:szCs w:val="24"/>
          <w:lang w:eastAsia="ca-ES"/>
        </w:rPr>
      </w:pPr>
      <w:r>
        <w:rPr>
          <w:rFonts w:ascii="Times New Roman" w:hAnsi="Times New Roman"/>
          <w:sz w:val="24"/>
          <w:szCs w:val="24"/>
          <w:lang w:val="en-GB" w:eastAsia="ca-ES"/>
        </w:rPr>
        <w:t>We have held meetings with political parties and official agencies (Anti-Fraud Office, APDCAT, Síndic de Greuges (ombud</w:t>
      </w:r>
      <w:r>
        <w:rPr>
          <w:rFonts w:ascii="Times New Roman" w:hAnsi="Times New Roman"/>
          <w:sz w:val="24"/>
          <w:szCs w:val="24"/>
          <w:lang w:val="en-GB" w:eastAsia="ca-ES"/>
        </w:rPr>
        <w:t>sman)) and taken part in both municipal symposia with citizens' groups, audit platforms (Municipal Citizens' Observatory), data journalists and jurists and more strictly technological and governmental symposia (Digital Government). For the first time, we h</w:t>
      </w:r>
      <w:r>
        <w:rPr>
          <w:rFonts w:ascii="Times New Roman" w:hAnsi="Times New Roman"/>
          <w:sz w:val="24"/>
          <w:szCs w:val="24"/>
          <w:lang w:val="en-GB" w:eastAsia="ca-ES"/>
        </w:rPr>
        <w:t xml:space="preserve">ave a stable presence in the media, thanks to </w:t>
      </w:r>
      <w:r>
        <w:rPr>
          <w:rFonts w:ascii="Times New Roman" w:hAnsi="Times New Roman"/>
          <w:i/>
          <w:iCs/>
          <w:sz w:val="24"/>
          <w:szCs w:val="24"/>
          <w:lang w:val="en-GB" w:eastAsia="ca-ES"/>
        </w:rPr>
        <w:t>Arxipèlag</w:t>
      </w:r>
      <w:r>
        <w:rPr>
          <w:rFonts w:ascii="Times New Roman" w:hAnsi="Times New Roman"/>
          <w:sz w:val="24"/>
          <w:szCs w:val="24"/>
          <w:lang w:val="en-GB" w:eastAsia="ca-ES"/>
        </w:rPr>
        <w:t xml:space="preserve">, the digital community on </w:t>
      </w:r>
      <w:r>
        <w:rPr>
          <w:rFonts w:ascii="Times New Roman" w:hAnsi="Times New Roman"/>
          <w:i/>
          <w:iCs/>
          <w:sz w:val="24"/>
          <w:szCs w:val="24"/>
          <w:lang w:val="en-GB" w:eastAsia="ca-ES"/>
        </w:rPr>
        <w:t>Núvol</w:t>
      </w:r>
      <w:r>
        <w:rPr>
          <w:rFonts w:ascii="Times New Roman" w:hAnsi="Times New Roman"/>
          <w:sz w:val="24"/>
          <w:szCs w:val="24"/>
          <w:lang w:val="en-GB" w:eastAsia="ca-ES"/>
        </w:rPr>
        <w:t>, and a few sporadic contributions to other generalist media. We will continue to seek out dialogue and cooperation with these and other agents (institutional observator</w:t>
      </w:r>
      <w:r>
        <w:rPr>
          <w:rFonts w:ascii="Times New Roman" w:hAnsi="Times New Roman"/>
          <w:sz w:val="24"/>
          <w:szCs w:val="24"/>
          <w:lang w:val="en-GB" w:eastAsia="ca-ES"/>
        </w:rPr>
        <w:t xml:space="preserve">ies, pro-transparency organisations, etc.) </w:t>
      </w:r>
      <w:bookmarkStart w:id="0" w:name="_GoBack"/>
      <w:bookmarkEnd w:id="0"/>
      <w:r>
        <w:rPr>
          <w:rFonts w:ascii="Times New Roman" w:hAnsi="Times New Roman"/>
          <w:sz w:val="24"/>
          <w:szCs w:val="24"/>
          <w:lang w:val="en-GB" w:eastAsia="ca-ES"/>
        </w:rPr>
        <w:t>because we are convinced that only through the recognition and interaction of collective expertise can we build comprehensive, sustainable strategies on transparency and public participation. For such efforts to</w:t>
      </w:r>
      <w:r>
        <w:rPr>
          <w:rFonts w:ascii="Times New Roman" w:hAnsi="Times New Roman"/>
          <w:sz w:val="24"/>
          <w:szCs w:val="24"/>
          <w:lang w:val="en-GB" w:eastAsia="ca-ES"/>
        </w:rPr>
        <w:t xml:space="preserve"> yield the results we all seek, each of us, obviously, has to ‘do politics' in the particular context of our profession and do it, as we said, both inside and out. If we don't believe and trust in the capillarity of the Catalan archival system as a key str</w:t>
      </w:r>
      <w:r>
        <w:rPr>
          <w:rFonts w:ascii="Times New Roman" w:hAnsi="Times New Roman"/>
          <w:sz w:val="24"/>
          <w:szCs w:val="24"/>
          <w:lang w:val="en-GB" w:eastAsia="ca-ES"/>
        </w:rPr>
        <w:t xml:space="preserve">ucture to guarantee the interoperability and preservation of public information in Catalonia, who will? Merry Christmas and good luck. </w:t>
      </w:r>
    </w:p>
    <w:p w:rsidR="00704FAD" w:rsidRPr="0074097C" w:rsidRDefault="0069573C" w:rsidP="0074097C">
      <w:pPr>
        <w:spacing w:line="360" w:lineRule="auto"/>
        <w:jc w:val="both"/>
        <w:rPr>
          <w:rFonts w:ascii="Times New Roman" w:hAnsi="Times New Roman"/>
          <w:sz w:val="24"/>
          <w:szCs w:val="24"/>
        </w:rPr>
      </w:pPr>
    </w:p>
    <w:sectPr w:rsidR="00704FAD" w:rsidRPr="0074097C" w:rsidSect="009F56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73C"/>
    <w:rsid w:val="0069573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68"/>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1031</Words>
  <Characters>5672</Characters>
  <Application>Microsoft Office Word</Application>
  <DocSecurity>0</DocSecurity>
  <Lines>47</Lines>
  <Paragraphs>13</Paragraphs>
  <ScaleCrop>false</ScaleCrop>
  <Company>CNC</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política, si no la fas, te la fan en contra</dc:title>
  <dc:creator>biblioteca04</dc:creator>
  <cp:lastModifiedBy>t&amp;s</cp:lastModifiedBy>
  <cp:revision>3</cp:revision>
  <cp:lastPrinted>2015-11-30T10:58:00Z</cp:lastPrinted>
  <dcterms:created xsi:type="dcterms:W3CDTF">2015-11-30T10:59:00Z</dcterms:created>
  <dcterms:modified xsi:type="dcterms:W3CDTF">2015-12-17T17:11:00Z</dcterms:modified>
</cp:coreProperties>
</file>